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0E29" w:rsidRDefault="00540E29" w:rsidP="00540E29">
      <w:pPr>
        <w:pStyle w:val="Heading3"/>
        <w:tabs>
          <w:tab w:val="center" w:pos="142"/>
          <w:tab w:val="center" w:pos="7633"/>
        </w:tabs>
        <w:spacing w:after="7"/>
        <w:jc w:val="center"/>
        <w:rPr>
          <w:b/>
          <w:color w:val="auto"/>
          <w:sz w:val="48"/>
          <w:szCs w:val="48"/>
        </w:rPr>
      </w:pPr>
      <w:r w:rsidRPr="00540E29">
        <w:rPr>
          <w:b/>
          <w:color w:val="auto"/>
          <w:sz w:val="48"/>
          <w:szCs w:val="48"/>
        </w:rPr>
        <w:t>SUMMARY</w:t>
      </w:r>
      <w:r>
        <w:rPr>
          <w:b/>
          <w:color w:val="auto"/>
          <w:sz w:val="48"/>
          <w:szCs w:val="48"/>
        </w:rPr>
        <w:t xml:space="preserve"> OF SSOPC TENDERING REQUIREMENTS</w:t>
      </w:r>
    </w:p>
    <w:p w:rsidR="00540E29" w:rsidRDefault="00540E29" w:rsidP="00540E29"/>
    <w:p w:rsidR="00540E29" w:rsidRDefault="00540E29" w:rsidP="00540E29"/>
    <w:p w:rsidR="00540E29" w:rsidRDefault="00540E29" w:rsidP="00540E29"/>
    <w:p w:rsidR="00A01670" w:rsidRDefault="00E6108B" w:rsidP="00540E29">
      <w:pPr>
        <w:jc w:val="center"/>
        <w:rPr>
          <w:b/>
          <w:sz w:val="48"/>
          <w:szCs w:val="48"/>
        </w:rPr>
      </w:pPr>
      <w:r>
        <w:rPr>
          <w:b/>
          <w:sz w:val="48"/>
          <w:szCs w:val="48"/>
        </w:rPr>
        <w:t>Spring 2022</w:t>
      </w:r>
    </w:p>
    <w:p w:rsidR="00540E29" w:rsidRPr="00A01670" w:rsidRDefault="00E6108B" w:rsidP="00540E29">
      <w:pPr>
        <w:jc w:val="center"/>
        <w:rPr>
          <w:b/>
        </w:rPr>
      </w:pPr>
      <w:r>
        <w:rPr>
          <w:b/>
        </w:rPr>
        <w:t>Review bi-annually</w:t>
      </w:r>
    </w:p>
    <w:p w:rsidR="00540E29" w:rsidRDefault="00540E29" w:rsidP="00540E29">
      <w:pPr>
        <w:jc w:val="center"/>
        <w:rPr>
          <w:b/>
          <w:sz w:val="48"/>
          <w:szCs w:val="48"/>
        </w:rPr>
      </w:pPr>
    </w:p>
    <w:p w:rsidR="00540E29" w:rsidRDefault="00540E29" w:rsidP="00540E29">
      <w:pPr>
        <w:jc w:val="center"/>
        <w:rPr>
          <w:b/>
          <w:sz w:val="48"/>
          <w:szCs w:val="48"/>
        </w:rPr>
      </w:pPr>
    </w:p>
    <w:p w:rsidR="00540E29" w:rsidRPr="00540E29" w:rsidRDefault="00540E29" w:rsidP="00540E29">
      <w:pPr>
        <w:jc w:val="center"/>
        <w:rPr>
          <w:b/>
          <w:sz w:val="48"/>
          <w:szCs w:val="48"/>
        </w:rPr>
      </w:pPr>
      <w:r>
        <w:rPr>
          <w:b/>
          <w:noProof/>
          <w:sz w:val="48"/>
          <w:szCs w:val="48"/>
          <w:lang w:eastAsia="en-GB"/>
        </w:rPr>
        <w:drawing>
          <wp:inline distT="0" distB="0" distL="0" distR="0">
            <wp:extent cx="1459992" cy="1392936"/>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DET Logo on Whit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59992" cy="1392936"/>
                    </a:xfrm>
                    <a:prstGeom prst="rect">
                      <a:avLst/>
                    </a:prstGeom>
                  </pic:spPr>
                </pic:pic>
              </a:graphicData>
            </a:graphic>
          </wp:inline>
        </w:drawing>
      </w:r>
    </w:p>
    <w:p w:rsidR="00540E29" w:rsidRPr="00540E29" w:rsidRDefault="00540E29" w:rsidP="00540E29"/>
    <w:tbl>
      <w:tblPr>
        <w:tblStyle w:val="TableGrid"/>
        <w:tblpPr w:leftFromText="180" w:rightFromText="180" w:horzAnchor="margin" w:tblpXSpec="center" w:tblpY="264"/>
        <w:tblW w:w="15985" w:type="dxa"/>
        <w:tblInd w:w="0" w:type="dxa"/>
        <w:tblCellMar>
          <w:top w:w="39" w:type="dxa"/>
          <w:left w:w="107" w:type="dxa"/>
          <w:right w:w="78" w:type="dxa"/>
        </w:tblCellMar>
        <w:tblLook w:val="04A0" w:firstRow="1" w:lastRow="0" w:firstColumn="1" w:lastColumn="0" w:noHBand="0" w:noVBand="1"/>
      </w:tblPr>
      <w:tblGrid>
        <w:gridCol w:w="1669"/>
        <w:gridCol w:w="4107"/>
        <w:gridCol w:w="2413"/>
        <w:gridCol w:w="1841"/>
        <w:gridCol w:w="1846"/>
        <w:gridCol w:w="2270"/>
        <w:gridCol w:w="1839"/>
      </w:tblGrid>
      <w:tr w:rsidR="00540E29" w:rsidTr="00540E29">
        <w:trPr>
          <w:trHeight w:val="668"/>
        </w:trPr>
        <w:tc>
          <w:tcPr>
            <w:tcW w:w="1669" w:type="dxa"/>
            <w:tcBorders>
              <w:top w:val="single" w:sz="4" w:space="0" w:color="000000"/>
              <w:left w:val="single" w:sz="4" w:space="0" w:color="000000"/>
              <w:bottom w:val="single" w:sz="4" w:space="0" w:color="000000"/>
              <w:right w:val="single" w:sz="4" w:space="0" w:color="000000"/>
            </w:tcBorders>
            <w:shd w:val="clear" w:color="auto" w:fill="C6D9F1"/>
          </w:tcPr>
          <w:p w:rsidR="00540E29" w:rsidRDefault="00540E29" w:rsidP="00540E29">
            <w:pPr>
              <w:spacing w:line="259" w:lineRule="auto"/>
            </w:pPr>
            <w:r>
              <w:rPr>
                <w:rFonts w:ascii="Calibri" w:eastAsia="Calibri" w:hAnsi="Calibri" w:cs="Calibri"/>
                <w:b/>
                <w:sz w:val="18"/>
              </w:rPr>
              <w:lastRenderedPageBreak/>
              <w:t xml:space="preserve">Aggregate value of the Contract </w:t>
            </w:r>
          </w:p>
        </w:tc>
        <w:tc>
          <w:tcPr>
            <w:tcW w:w="4107" w:type="dxa"/>
            <w:tcBorders>
              <w:top w:val="single" w:sz="4" w:space="0" w:color="000000"/>
              <w:left w:val="single" w:sz="4" w:space="0" w:color="000000"/>
              <w:bottom w:val="single" w:sz="4" w:space="0" w:color="000000"/>
              <w:right w:val="single" w:sz="4" w:space="0" w:color="000000"/>
            </w:tcBorders>
            <w:shd w:val="clear" w:color="auto" w:fill="C6D9F1"/>
          </w:tcPr>
          <w:p w:rsidR="00540E29" w:rsidRDefault="00540E29" w:rsidP="00540E29">
            <w:pPr>
              <w:spacing w:line="259" w:lineRule="auto"/>
              <w:ind w:left="1"/>
            </w:pPr>
            <w:r>
              <w:rPr>
                <w:rFonts w:ascii="Calibri" w:eastAsia="Calibri" w:hAnsi="Calibri" w:cs="Calibri"/>
                <w:b/>
                <w:sz w:val="18"/>
              </w:rPr>
              <w:t xml:space="preserve">Procurement process </w:t>
            </w:r>
          </w:p>
        </w:tc>
        <w:tc>
          <w:tcPr>
            <w:tcW w:w="2413" w:type="dxa"/>
            <w:tcBorders>
              <w:top w:val="single" w:sz="4" w:space="0" w:color="000000"/>
              <w:left w:val="single" w:sz="4" w:space="0" w:color="000000"/>
              <w:bottom w:val="single" w:sz="4" w:space="0" w:color="000000"/>
              <w:right w:val="single" w:sz="4" w:space="0" w:color="000000"/>
            </w:tcBorders>
            <w:shd w:val="clear" w:color="auto" w:fill="C6D9F1"/>
          </w:tcPr>
          <w:p w:rsidR="00540E29" w:rsidRDefault="00540E29" w:rsidP="00540E29">
            <w:pPr>
              <w:spacing w:line="259" w:lineRule="auto"/>
              <w:ind w:left="1"/>
            </w:pPr>
            <w:r>
              <w:rPr>
                <w:rFonts w:ascii="Calibri" w:eastAsia="Calibri" w:hAnsi="Calibri" w:cs="Calibri"/>
                <w:b/>
                <w:sz w:val="18"/>
              </w:rPr>
              <w:t xml:space="preserve">Who approves procurement process? </w:t>
            </w:r>
          </w:p>
        </w:tc>
        <w:tc>
          <w:tcPr>
            <w:tcW w:w="1841" w:type="dxa"/>
            <w:tcBorders>
              <w:top w:val="single" w:sz="4" w:space="0" w:color="000000"/>
              <w:left w:val="single" w:sz="4" w:space="0" w:color="000000"/>
              <w:bottom w:val="single" w:sz="4" w:space="0" w:color="000000"/>
              <w:right w:val="single" w:sz="4" w:space="0" w:color="000000"/>
            </w:tcBorders>
            <w:shd w:val="clear" w:color="auto" w:fill="C6D9F1"/>
          </w:tcPr>
          <w:p w:rsidR="00540E29" w:rsidRDefault="00540E29" w:rsidP="00540E29">
            <w:pPr>
              <w:spacing w:line="259" w:lineRule="auto"/>
              <w:ind w:left="1"/>
            </w:pPr>
            <w:r>
              <w:rPr>
                <w:rFonts w:ascii="Calibri" w:eastAsia="Calibri" w:hAnsi="Calibri" w:cs="Calibri"/>
                <w:b/>
                <w:sz w:val="18"/>
              </w:rPr>
              <w:t xml:space="preserve">Who leads procurement process? </w:t>
            </w:r>
          </w:p>
        </w:tc>
        <w:tc>
          <w:tcPr>
            <w:tcW w:w="1846" w:type="dxa"/>
            <w:tcBorders>
              <w:top w:val="single" w:sz="4" w:space="0" w:color="000000"/>
              <w:left w:val="single" w:sz="4" w:space="0" w:color="000000"/>
              <w:bottom w:val="single" w:sz="4" w:space="0" w:color="000000"/>
              <w:right w:val="single" w:sz="4" w:space="0" w:color="000000"/>
            </w:tcBorders>
            <w:shd w:val="clear" w:color="auto" w:fill="C6D9F1"/>
          </w:tcPr>
          <w:p w:rsidR="00540E29" w:rsidRDefault="00540E29" w:rsidP="00540E29">
            <w:pPr>
              <w:spacing w:line="259" w:lineRule="auto"/>
              <w:ind w:left="1"/>
            </w:pPr>
            <w:r>
              <w:rPr>
                <w:rFonts w:ascii="Calibri" w:eastAsia="Calibri" w:hAnsi="Calibri" w:cs="Calibri"/>
                <w:b/>
                <w:sz w:val="18"/>
              </w:rPr>
              <w:t xml:space="preserve">Advertising </w:t>
            </w:r>
          </w:p>
        </w:tc>
        <w:tc>
          <w:tcPr>
            <w:tcW w:w="2270" w:type="dxa"/>
            <w:tcBorders>
              <w:top w:val="single" w:sz="4" w:space="0" w:color="000000"/>
              <w:left w:val="single" w:sz="4" w:space="0" w:color="000000"/>
              <w:bottom w:val="single" w:sz="4" w:space="0" w:color="000000"/>
              <w:right w:val="single" w:sz="4" w:space="0" w:color="000000"/>
            </w:tcBorders>
            <w:shd w:val="clear" w:color="auto" w:fill="C6D9F1"/>
          </w:tcPr>
          <w:p w:rsidR="00540E29" w:rsidRDefault="00540E29" w:rsidP="00540E29">
            <w:pPr>
              <w:spacing w:line="259" w:lineRule="auto"/>
              <w:ind w:left="1"/>
            </w:pPr>
            <w:r>
              <w:rPr>
                <w:rFonts w:ascii="Calibri" w:eastAsia="Calibri" w:hAnsi="Calibri" w:cs="Calibri"/>
                <w:b/>
                <w:sz w:val="18"/>
              </w:rPr>
              <w:t xml:space="preserve">How many quotes are required? </w:t>
            </w:r>
          </w:p>
        </w:tc>
        <w:tc>
          <w:tcPr>
            <w:tcW w:w="1839" w:type="dxa"/>
            <w:tcBorders>
              <w:top w:val="single" w:sz="4" w:space="0" w:color="000000"/>
              <w:left w:val="single" w:sz="4" w:space="0" w:color="000000"/>
              <w:bottom w:val="single" w:sz="4" w:space="0" w:color="000000"/>
              <w:right w:val="single" w:sz="4" w:space="0" w:color="000000"/>
            </w:tcBorders>
            <w:shd w:val="clear" w:color="auto" w:fill="C6D9F1"/>
          </w:tcPr>
          <w:p w:rsidR="00540E29" w:rsidRDefault="00540E29" w:rsidP="00540E29">
            <w:pPr>
              <w:spacing w:line="259" w:lineRule="auto"/>
              <w:ind w:left="1" w:right="12"/>
            </w:pPr>
            <w:r>
              <w:rPr>
                <w:rFonts w:ascii="Calibri" w:eastAsia="Calibri" w:hAnsi="Calibri" w:cs="Calibri"/>
                <w:b/>
                <w:sz w:val="18"/>
              </w:rPr>
              <w:t xml:space="preserve">What type of contract is required? </w:t>
            </w:r>
          </w:p>
        </w:tc>
      </w:tr>
      <w:tr w:rsidR="00540E29" w:rsidTr="00540E29">
        <w:trPr>
          <w:trHeight w:val="1148"/>
        </w:trPr>
        <w:tc>
          <w:tcPr>
            <w:tcW w:w="1669" w:type="dxa"/>
            <w:tcBorders>
              <w:top w:val="single" w:sz="4" w:space="0" w:color="000000"/>
              <w:left w:val="single" w:sz="4" w:space="0" w:color="000000"/>
              <w:bottom w:val="single" w:sz="4" w:space="0" w:color="000000"/>
              <w:right w:val="single" w:sz="4" w:space="0" w:color="000000"/>
            </w:tcBorders>
          </w:tcPr>
          <w:p w:rsidR="00540E29" w:rsidRDefault="00540E29" w:rsidP="00540E29">
            <w:pPr>
              <w:spacing w:line="259" w:lineRule="auto"/>
            </w:pPr>
            <w:r>
              <w:rPr>
                <w:rFonts w:ascii="Calibri" w:eastAsia="Calibri" w:hAnsi="Calibri" w:cs="Calibri"/>
                <w:sz w:val="18"/>
              </w:rPr>
              <w:t xml:space="preserve">£0- £5,000 </w:t>
            </w:r>
          </w:p>
          <w:p w:rsidR="00540E29" w:rsidRDefault="00540E29" w:rsidP="00540E29">
            <w:pPr>
              <w:spacing w:line="259" w:lineRule="auto"/>
            </w:pPr>
            <w:r>
              <w:rPr>
                <w:rFonts w:ascii="Calibri" w:eastAsia="Calibri" w:hAnsi="Calibri" w:cs="Calibri"/>
                <w:sz w:val="18"/>
              </w:rPr>
              <w:t xml:space="preserve"> </w:t>
            </w:r>
          </w:p>
        </w:tc>
        <w:tc>
          <w:tcPr>
            <w:tcW w:w="4107" w:type="dxa"/>
            <w:tcBorders>
              <w:top w:val="single" w:sz="4" w:space="0" w:color="000000"/>
              <w:left w:val="single" w:sz="4" w:space="0" w:color="000000"/>
              <w:bottom w:val="single" w:sz="4" w:space="0" w:color="000000"/>
              <w:right w:val="single" w:sz="4" w:space="0" w:color="000000"/>
            </w:tcBorders>
          </w:tcPr>
          <w:p w:rsidR="00540E29" w:rsidRDefault="00540E29" w:rsidP="00540E29">
            <w:pPr>
              <w:numPr>
                <w:ilvl w:val="0"/>
                <w:numId w:val="2"/>
              </w:numPr>
              <w:spacing w:line="259" w:lineRule="auto"/>
              <w:ind w:left="177" w:hanging="142"/>
            </w:pPr>
            <w:r>
              <w:rPr>
                <w:rFonts w:ascii="Calibri" w:eastAsia="Calibri" w:hAnsi="Calibri" w:cs="Calibri"/>
                <w:sz w:val="18"/>
              </w:rPr>
              <w:t xml:space="preserve">Email/write to supplier; or </w:t>
            </w:r>
          </w:p>
          <w:p w:rsidR="00540E29" w:rsidRDefault="00540E29" w:rsidP="00540E29">
            <w:pPr>
              <w:numPr>
                <w:ilvl w:val="0"/>
                <w:numId w:val="2"/>
              </w:numPr>
              <w:spacing w:line="259" w:lineRule="auto"/>
              <w:ind w:left="177" w:hanging="142"/>
            </w:pPr>
            <w:r>
              <w:rPr>
                <w:rFonts w:ascii="Calibri" w:eastAsia="Calibri" w:hAnsi="Calibri" w:cs="Calibri"/>
                <w:sz w:val="18"/>
              </w:rPr>
              <w:t xml:space="preserve">Place order under a Framework </w:t>
            </w:r>
          </w:p>
          <w:p w:rsidR="00540E29" w:rsidRDefault="00540E29" w:rsidP="00540E29">
            <w:pPr>
              <w:spacing w:line="259" w:lineRule="auto"/>
              <w:ind w:right="56"/>
              <w:jc w:val="center"/>
            </w:pPr>
            <w:r>
              <w:rPr>
                <w:rFonts w:ascii="Calibri" w:eastAsia="Calibri" w:hAnsi="Calibri" w:cs="Calibri"/>
                <w:sz w:val="18"/>
              </w:rPr>
              <w:t xml:space="preserve">Agreement/Dynamic Purchasing System (“DPS”) </w:t>
            </w:r>
          </w:p>
          <w:p w:rsidR="00540E29" w:rsidRDefault="00540E29" w:rsidP="00540E29">
            <w:pPr>
              <w:spacing w:line="259" w:lineRule="auto"/>
              <w:ind w:left="176"/>
            </w:pPr>
            <w:r>
              <w:rPr>
                <w:rFonts w:ascii="Calibri" w:eastAsia="Calibri" w:hAnsi="Calibri" w:cs="Calibri"/>
                <w:sz w:val="18"/>
              </w:rPr>
              <w:t xml:space="preserve">that is available to the School </w:t>
            </w:r>
          </w:p>
        </w:tc>
        <w:tc>
          <w:tcPr>
            <w:tcW w:w="2413" w:type="dxa"/>
            <w:tcBorders>
              <w:top w:val="single" w:sz="4" w:space="0" w:color="000000"/>
              <w:left w:val="single" w:sz="4" w:space="0" w:color="000000"/>
              <w:bottom w:val="single" w:sz="4" w:space="0" w:color="000000"/>
              <w:right w:val="single" w:sz="4" w:space="0" w:color="000000"/>
            </w:tcBorders>
          </w:tcPr>
          <w:p w:rsidR="00540E29" w:rsidRDefault="00540E29" w:rsidP="00540E29">
            <w:pPr>
              <w:spacing w:line="259" w:lineRule="auto"/>
              <w:ind w:left="1"/>
            </w:pPr>
            <w:r>
              <w:rPr>
                <w:rFonts w:ascii="Calibri" w:eastAsia="Calibri" w:hAnsi="Calibri" w:cs="Calibri"/>
                <w:sz w:val="18"/>
              </w:rPr>
              <w:t xml:space="preserve">Governing Body or Head Teacher with delegated authority. </w:t>
            </w:r>
          </w:p>
        </w:tc>
        <w:tc>
          <w:tcPr>
            <w:tcW w:w="1841" w:type="dxa"/>
            <w:tcBorders>
              <w:top w:val="single" w:sz="4" w:space="0" w:color="000000"/>
              <w:left w:val="single" w:sz="4" w:space="0" w:color="000000"/>
              <w:bottom w:val="single" w:sz="4" w:space="0" w:color="000000"/>
              <w:right w:val="single" w:sz="4" w:space="0" w:color="000000"/>
            </w:tcBorders>
          </w:tcPr>
          <w:p w:rsidR="00540E29" w:rsidRDefault="00540E29" w:rsidP="00540E29">
            <w:pPr>
              <w:spacing w:line="259" w:lineRule="auto"/>
              <w:ind w:left="1" w:right="7"/>
            </w:pPr>
            <w:r>
              <w:rPr>
                <w:rFonts w:ascii="Calibri" w:eastAsia="Calibri" w:hAnsi="Calibri" w:cs="Calibri"/>
                <w:sz w:val="18"/>
              </w:rPr>
              <w:t xml:space="preserve">Head Teacher or other School employee with delegated authority. </w:t>
            </w:r>
          </w:p>
        </w:tc>
        <w:tc>
          <w:tcPr>
            <w:tcW w:w="1846" w:type="dxa"/>
            <w:tcBorders>
              <w:top w:val="single" w:sz="4" w:space="0" w:color="000000"/>
              <w:left w:val="single" w:sz="4" w:space="0" w:color="000000"/>
              <w:bottom w:val="single" w:sz="4" w:space="0" w:color="000000"/>
              <w:right w:val="single" w:sz="4" w:space="0" w:color="000000"/>
            </w:tcBorders>
          </w:tcPr>
          <w:p w:rsidR="00540E29" w:rsidRDefault="00540E29" w:rsidP="00540E29">
            <w:pPr>
              <w:spacing w:line="259" w:lineRule="auto"/>
              <w:ind w:left="1"/>
            </w:pPr>
            <w:r>
              <w:rPr>
                <w:rFonts w:ascii="Calibri" w:eastAsia="Calibri" w:hAnsi="Calibri" w:cs="Calibri"/>
                <w:sz w:val="18"/>
              </w:rPr>
              <w:t xml:space="preserve">Not mandatory. </w:t>
            </w:r>
          </w:p>
        </w:tc>
        <w:tc>
          <w:tcPr>
            <w:tcW w:w="2270" w:type="dxa"/>
            <w:tcBorders>
              <w:top w:val="single" w:sz="4" w:space="0" w:color="000000"/>
              <w:left w:val="single" w:sz="4" w:space="0" w:color="000000"/>
              <w:bottom w:val="single" w:sz="4" w:space="0" w:color="000000"/>
              <w:right w:val="single" w:sz="4" w:space="0" w:color="000000"/>
            </w:tcBorders>
          </w:tcPr>
          <w:p w:rsidR="00540E29" w:rsidRDefault="00540E29" w:rsidP="00540E29">
            <w:pPr>
              <w:spacing w:line="259" w:lineRule="auto"/>
              <w:ind w:left="1"/>
            </w:pPr>
            <w:r>
              <w:rPr>
                <w:rFonts w:ascii="Calibri" w:eastAsia="Calibri" w:hAnsi="Calibri" w:cs="Calibri"/>
                <w:sz w:val="18"/>
              </w:rPr>
              <w:t xml:space="preserve">One written quote. </w:t>
            </w:r>
          </w:p>
        </w:tc>
        <w:tc>
          <w:tcPr>
            <w:tcW w:w="1839" w:type="dxa"/>
            <w:tcBorders>
              <w:top w:val="single" w:sz="4" w:space="0" w:color="000000"/>
              <w:left w:val="single" w:sz="4" w:space="0" w:color="000000"/>
              <w:bottom w:val="single" w:sz="4" w:space="0" w:color="000000"/>
              <w:right w:val="single" w:sz="4" w:space="0" w:color="000000"/>
            </w:tcBorders>
          </w:tcPr>
          <w:p w:rsidR="00540E29" w:rsidRDefault="00540E29" w:rsidP="00540E29">
            <w:pPr>
              <w:spacing w:after="1"/>
              <w:ind w:left="1"/>
            </w:pPr>
            <w:r>
              <w:rPr>
                <w:rFonts w:ascii="Calibri" w:eastAsia="Calibri" w:hAnsi="Calibri" w:cs="Calibri"/>
                <w:sz w:val="18"/>
              </w:rPr>
              <w:t xml:space="preserve">Trusts or supplier’s standard terms and conditions.  </w:t>
            </w:r>
          </w:p>
          <w:p w:rsidR="00540E29" w:rsidRDefault="00540E29" w:rsidP="00540E29">
            <w:pPr>
              <w:spacing w:line="259" w:lineRule="auto"/>
              <w:ind w:left="1"/>
            </w:pPr>
            <w:r>
              <w:rPr>
                <w:rFonts w:ascii="Calibri" w:eastAsia="Calibri" w:hAnsi="Calibri" w:cs="Calibri"/>
                <w:sz w:val="18"/>
              </w:rPr>
              <w:t xml:space="preserve"> </w:t>
            </w:r>
          </w:p>
        </w:tc>
      </w:tr>
      <w:tr w:rsidR="00540E29" w:rsidTr="00540E29">
        <w:trPr>
          <w:trHeight w:val="1549"/>
        </w:trPr>
        <w:tc>
          <w:tcPr>
            <w:tcW w:w="1669" w:type="dxa"/>
            <w:tcBorders>
              <w:top w:val="single" w:sz="4" w:space="0" w:color="000000"/>
              <w:left w:val="single" w:sz="4" w:space="0" w:color="000000"/>
              <w:bottom w:val="single" w:sz="4" w:space="0" w:color="000000"/>
              <w:right w:val="single" w:sz="4" w:space="0" w:color="000000"/>
            </w:tcBorders>
          </w:tcPr>
          <w:p w:rsidR="00540E29" w:rsidRDefault="00540E29" w:rsidP="00540E29">
            <w:pPr>
              <w:spacing w:line="259" w:lineRule="auto"/>
            </w:pPr>
            <w:r>
              <w:rPr>
                <w:rFonts w:ascii="Calibri" w:eastAsia="Calibri" w:hAnsi="Calibri" w:cs="Calibri"/>
                <w:sz w:val="18"/>
              </w:rPr>
              <w:t xml:space="preserve">£5,000-£75,000 </w:t>
            </w:r>
          </w:p>
        </w:tc>
        <w:tc>
          <w:tcPr>
            <w:tcW w:w="4107" w:type="dxa"/>
            <w:tcBorders>
              <w:top w:val="single" w:sz="4" w:space="0" w:color="000000"/>
              <w:left w:val="single" w:sz="4" w:space="0" w:color="000000"/>
              <w:bottom w:val="single" w:sz="4" w:space="0" w:color="000000"/>
              <w:right w:val="single" w:sz="4" w:space="0" w:color="000000"/>
            </w:tcBorders>
          </w:tcPr>
          <w:p w:rsidR="00540E29" w:rsidRDefault="00540E29" w:rsidP="00540E29">
            <w:pPr>
              <w:numPr>
                <w:ilvl w:val="0"/>
                <w:numId w:val="3"/>
              </w:numPr>
              <w:spacing w:line="259" w:lineRule="auto"/>
              <w:ind w:hanging="175"/>
            </w:pPr>
            <w:r>
              <w:rPr>
                <w:rFonts w:ascii="Calibri" w:eastAsia="Calibri" w:hAnsi="Calibri" w:cs="Calibri"/>
                <w:sz w:val="18"/>
              </w:rPr>
              <w:t xml:space="preserve">Send suppliers (min 3) request for quotation; or </w:t>
            </w:r>
          </w:p>
          <w:p w:rsidR="00540E29" w:rsidRDefault="00540E29" w:rsidP="00540E29">
            <w:pPr>
              <w:numPr>
                <w:ilvl w:val="0"/>
                <w:numId w:val="3"/>
              </w:numPr>
              <w:spacing w:line="259" w:lineRule="auto"/>
              <w:ind w:hanging="175"/>
            </w:pPr>
            <w:r>
              <w:rPr>
                <w:rFonts w:ascii="Calibri" w:eastAsia="Calibri" w:hAnsi="Calibri" w:cs="Calibri"/>
                <w:sz w:val="18"/>
              </w:rPr>
              <w:t xml:space="preserve">Issue invitation to tender; or </w:t>
            </w:r>
          </w:p>
          <w:p w:rsidR="00540E29" w:rsidRDefault="00540E29" w:rsidP="00540E29">
            <w:pPr>
              <w:numPr>
                <w:ilvl w:val="0"/>
                <w:numId w:val="3"/>
              </w:numPr>
              <w:spacing w:line="259" w:lineRule="auto"/>
              <w:ind w:hanging="175"/>
            </w:pPr>
            <w:r>
              <w:rPr>
                <w:rFonts w:ascii="Calibri" w:eastAsia="Calibri" w:hAnsi="Calibri" w:cs="Calibri"/>
                <w:sz w:val="18"/>
              </w:rPr>
              <w:t xml:space="preserve">Call-off from framework agreement/DPS available to School. </w:t>
            </w:r>
          </w:p>
        </w:tc>
        <w:tc>
          <w:tcPr>
            <w:tcW w:w="2413" w:type="dxa"/>
            <w:tcBorders>
              <w:top w:val="single" w:sz="4" w:space="0" w:color="000000"/>
              <w:left w:val="single" w:sz="4" w:space="0" w:color="000000"/>
              <w:bottom w:val="single" w:sz="4" w:space="0" w:color="000000"/>
              <w:right w:val="single" w:sz="4" w:space="0" w:color="000000"/>
            </w:tcBorders>
          </w:tcPr>
          <w:p w:rsidR="00540E29" w:rsidRDefault="00540E29" w:rsidP="00540E29">
            <w:pPr>
              <w:spacing w:line="259" w:lineRule="auto"/>
              <w:ind w:left="1"/>
            </w:pPr>
            <w:r>
              <w:rPr>
                <w:rFonts w:ascii="Calibri" w:eastAsia="Calibri" w:hAnsi="Calibri" w:cs="Calibri"/>
                <w:sz w:val="18"/>
              </w:rPr>
              <w:t xml:space="preserve">Governing Body or Head Teacher with delegated authority. </w:t>
            </w:r>
          </w:p>
        </w:tc>
        <w:tc>
          <w:tcPr>
            <w:tcW w:w="1841" w:type="dxa"/>
            <w:tcBorders>
              <w:top w:val="single" w:sz="4" w:space="0" w:color="000000"/>
              <w:left w:val="single" w:sz="4" w:space="0" w:color="000000"/>
              <w:bottom w:val="single" w:sz="4" w:space="0" w:color="000000"/>
              <w:right w:val="single" w:sz="4" w:space="0" w:color="000000"/>
            </w:tcBorders>
          </w:tcPr>
          <w:p w:rsidR="00540E29" w:rsidRDefault="00540E29" w:rsidP="00540E29">
            <w:pPr>
              <w:spacing w:after="1"/>
              <w:ind w:left="1" w:right="7"/>
            </w:pPr>
            <w:r>
              <w:rPr>
                <w:rFonts w:ascii="Calibri" w:eastAsia="Calibri" w:hAnsi="Calibri" w:cs="Calibri"/>
                <w:sz w:val="18"/>
              </w:rPr>
              <w:t xml:space="preserve">Head Teacher or other School employee with delegated authority. </w:t>
            </w:r>
          </w:p>
          <w:p w:rsidR="00540E29" w:rsidRDefault="00540E29" w:rsidP="00540E29">
            <w:pPr>
              <w:spacing w:line="259" w:lineRule="auto"/>
              <w:ind w:left="1"/>
            </w:pPr>
            <w:r>
              <w:rPr>
                <w:rFonts w:ascii="Calibri" w:eastAsia="Calibri" w:hAnsi="Calibri" w:cs="Calibri"/>
                <w:sz w:val="18"/>
              </w:rPr>
              <w:t xml:space="preserve"> </w:t>
            </w:r>
          </w:p>
          <w:p w:rsidR="00540E29" w:rsidRDefault="00540E29" w:rsidP="00540E29">
            <w:pPr>
              <w:spacing w:line="259" w:lineRule="auto"/>
              <w:ind w:left="1"/>
            </w:pPr>
            <w:r>
              <w:rPr>
                <w:rFonts w:ascii="Calibri" w:eastAsia="Calibri" w:hAnsi="Calibri" w:cs="Calibri"/>
                <w:sz w:val="18"/>
              </w:rPr>
              <w:t xml:space="preserve"> </w:t>
            </w:r>
          </w:p>
        </w:tc>
        <w:tc>
          <w:tcPr>
            <w:tcW w:w="1846" w:type="dxa"/>
            <w:tcBorders>
              <w:top w:val="single" w:sz="4" w:space="0" w:color="000000"/>
              <w:left w:val="single" w:sz="4" w:space="0" w:color="000000"/>
              <w:bottom w:val="single" w:sz="4" w:space="0" w:color="000000"/>
              <w:right w:val="single" w:sz="4" w:space="0" w:color="000000"/>
            </w:tcBorders>
          </w:tcPr>
          <w:p w:rsidR="00540E29" w:rsidRDefault="00540E29" w:rsidP="00540E29">
            <w:pPr>
              <w:spacing w:line="259" w:lineRule="auto"/>
              <w:ind w:left="1"/>
            </w:pPr>
            <w:r>
              <w:rPr>
                <w:rFonts w:ascii="Calibri" w:eastAsia="Calibri" w:hAnsi="Calibri" w:cs="Calibri"/>
                <w:sz w:val="18"/>
              </w:rPr>
              <w:t xml:space="preserve">Not mandatory but Best Value to be obtained. </w:t>
            </w:r>
          </w:p>
        </w:tc>
        <w:tc>
          <w:tcPr>
            <w:tcW w:w="2270" w:type="dxa"/>
            <w:tcBorders>
              <w:top w:val="single" w:sz="4" w:space="0" w:color="000000"/>
              <w:left w:val="single" w:sz="4" w:space="0" w:color="000000"/>
              <w:bottom w:val="single" w:sz="4" w:space="0" w:color="000000"/>
              <w:right w:val="single" w:sz="4" w:space="0" w:color="000000"/>
            </w:tcBorders>
          </w:tcPr>
          <w:p w:rsidR="00540E29" w:rsidRDefault="00540E29" w:rsidP="00540E29">
            <w:pPr>
              <w:spacing w:line="259" w:lineRule="auto"/>
              <w:ind w:left="1"/>
            </w:pPr>
            <w:r>
              <w:rPr>
                <w:rFonts w:ascii="Calibri" w:eastAsia="Calibri" w:hAnsi="Calibri" w:cs="Calibri"/>
                <w:sz w:val="18"/>
              </w:rPr>
              <w:t xml:space="preserve">Three written quotes. </w:t>
            </w:r>
          </w:p>
        </w:tc>
        <w:tc>
          <w:tcPr>
            <w:tcW w:w="1839" w:type="dxa"/>
            <w:tcBorders>
              <w:top w:val="single" w:sz="4" w:space="0" w:color="000000"/>
              <w:left w:val="single" w:sz="4" w:space="0" w:color="000000"/>
              <w:bottom w:val="single" w:sz="4" w:space="0" w:color="000000"/>
              <w:right w:val="single" w:sz="4" w:space="0" w:color="000000"/>
            </w:tcBorders>
          </w:tcPr>
          <w:p w:rsidR="00540E29" w:rsidRDefault="00540E29" w:rsidP="00540E29">
            <w:pPr>
              <w:spacing w:after="1"/>
              <w:ind w:left="1"/>
            </w:pPr>
            <w:r>
              <w:rPr>
                <w:rFonts w:ascii="Calibri" w:eastAsia="Calibri" w:hAnsi="Calibri" w:cs="Calibri"/>
                <w:sz w:val="18"/>
              </w:rPr>
              <w:t xml:space="preserve">Trusts or supplier’s standard terms and conditions.  </w:t>
            </w:r>
          </w:p>
          <w:p w:rsidR="00540E29" w:rsidRDefault="00540E29" w:rsidP="00540E29">
            <w:pPr>
              <w:spacing w:line="241" w:lineRule="auto"/>
              <w:ind w:left="1"/>
            </w:pPr>
          </w:p>
        </w:tc>
      </w:tr>
      <w:tr w:rsidR="00540E29" w:rsidTr="00540E29">
        <w:trPr>
          <w:trHeight w:val="1798"/>
        </w:trPr>
        <w:tc>
          <w:tcPr>
            <w:tcW w:w="1669" w:type="dxa"/>
            <w:tcBorders>
              <w:top w:val="single" w:sz="4" w:space="0" w:color="000000"/>
              <w:left w:val="single" w:sz="4" w:space="0" w:color="000000"/>
              <w:bottom w:val="single" w:sz="4" w:space="0" w:color="000000"/>
              <w:right w:val="single" w:sz="4" w:space="0" w:color="000000"/>
            </w:tcBorders>
          </w:tcPr>
          <w:p w:rsidR="00540E29" w:rsidRDefault="00540E29" w:rsidP="00540E29">
            <w:pPr>
              <w:spacing w:line="259" w:lineRule="auto"/>
              <w:rPr>
                <w:rFonts w:ascii="Calibri" w:eastAsia="Calibri" w:hAnsi="Calibri" w:cs="Calibri"/>
                <w:sz w:val="18"/>
              </w:rPr>
            </w:pPr>
            <w:r>
              <w:rPr>
                <w:rFonts w:ascii="Calibri" w:eastAsia="Calibri" w:hAnsi="Calibri" w:cs="Calibri"/>
                <w:sz w:val="18"/>
              </w:rPr>
              <w:t>£75,001-</w:t>
            </w:r>
            <w:r w:rsidR="00E6108B">
              <w:rPr>
                <w:rFonts w:ascii="Calibri" w:eastAsia="Calibri" w:hAnsi="Calibri" w:cs="Calibri"/>
                <w:sz w:val="18"/>
              </w:rPr>
              <w:t xml:space="preserve">PCR </w:t>
            </w:r>
            <w:r>
              <w:rPr>
                <w:rFonts w:ascii="Calibri" w:eastAsia="Calibri" w:hAnsi="Calibri" w:cs="Calibri"/>
                <w:sz w:val="18"/>
              </w:rPr>
              <w:t xml:space="preserve">threshold </w:t>
            </w:r>
          </w:p>
          <w:p w:rsidR="00E6108B" w:rsidRDefault="00E6108B" w:rsidP="00540E29">
            <w:pPr>
              <w:spacing w:line="259" w:lineRule="auto"/>
            </w:pPr>
          </w:p>
          <w:p w:rsidR="00E6108B" w:rsidRDefault="00E6108B" w:rsidP="00540E29">
            <w:pPr>
              <w:spacing w:line="259" w:lineRule="auto"/>
            </w:pPr>
            <w:r>
              <w:t>£213,477 or £5,336,938</w:t>
            </w:r>
          </w:p>
        </w:tc>
        <w:tc>
          <w:tcPr>
            <w:tcW w:w="4107" w:type="dxa"/>
            <w:tcBorders>
              <w:top w:val="single" w:sz="4" w:space="0" w:color="000000"/>
              <w:left w:val="single" w:sz="4" w:space="0" w:color="000000"/>
              <w:bottom w:val="single" w:sz="4" w:space="0" w:color="000000"/>
              <w:right w:val="single" w:sz="4" w:space="0" w:color="000000"/>
            </w:tcBorders>
          </w:tcPr>
          <w:p w:rsidR="00540E29" w:rsidRDefault="00540E29" w:rsidP="00540E29">
            <w:pPr>
              <w:spacing w:after="35" w:line="241" w:lineRule="auto"/>
              <w:ind w:left="1"/>
            </w:pPr>
            <w:r>
              <w:rPr>
                <w:rFonts w:ascii="Calibri" w:eastAsia="Calibri" w:hAnsi="Calibri" w:cs="Calibri"/>
                <w:sz w:val="18"/>
              </w:rPr>
              <w:t xml:space="preserve">Must be fair and transparent process representing Best Value: </w:t>
            </w:r>
          </w:p>
          <w:p w:rsidR="00540E29" w:rsidRDefault="00540E29" w:rsidP="00540E29">
            <w:pPr>
              <w:numPr>
                <w:ilvl w:val="0"/>
                <w:numId w:val="4"/>
              </w:numPr>
              <w:spacing w:line="259" w:lineRule="auto"/>
              <w:ind w:hanging="175"/>
            </w:pPr>
            <w:r>
              <w:rPr>
                <w:rFonts w:ascii="Calibri" w:eastAsia="Calibri" w:hAnsi="Calibri" w:cs="Calibri"/>
                <w:sz w:val="18"/>
              </w:rPr>
              <w:t xml:space="preserve">Competitive tender; or </w:t>
            </w:r>
          </w:p>
          <w:p w:rsidR="00540E29" w:rsidRDefault="00540E29" w:rsidP="00540E29">
            <w:pPr>
              <w:numPr>
                <w:ilvl w:val="0"/>
                <w:numId w:val="4"/>
              </w:numPr>
              <w:spacing w:line="242" w:lineRule="auto"/>
              <w:ind w:hanging="175"/>
            </w:pPr>
            <w:r>
              <w:rPr>
                <w:rFonts w:ascii="Calibri" w:eastAsia="Calibri" w:hAnsi="Calibri" w:cs="Calibri"/>
                <w:sz w:val="18"/>
              </w:rPr>
              <w:t xml:space="preserve">Call off from framework agreement/DPS available to the School (seek advice from WSCC </w:t>
            </w:r>
          </w:p>
          <w:p w:rsidR="00540E29" w:rsidRDefault="00540E29" w:rsidP="00540E29">
            <w:pPr>
              <w:spacing w:line="259" w:lineRule="auto"/>
              <w:ind w:left="176"/>
            </w:pPr>
            <w:r>
              <w:rPr>
                <w:rFonts w:ascii="Calibri" w:eastAsia="Calibri" w:hAnsi="Calibri" w:cs="Calibri"/>
                <w:sz w:val="18"/>
              </w:rPr>
              <w:t xml:space="preserve">Procurement Services);  </w:t>
            </w:r>
          </w:p>
        </w:tc>
        <w:tc>
          <w:tcPr>
            <w:tcW w:w="2413" w:type="dxa"/>
            <w:tcBorders>
              <w:top w:val="single" w:sz="4" w:space="0" w:color="000000"/>
              <w:left w:val="single" w:sz="4" w:space="0" w:color="000000"/>
              <w:bottom w:val="single" w:sz="4" w:space="0" w:color="000000"/>
              <w:right w:val="single" w:sz="4" w:space="0" w:color="000000"/>
            </w:tcBorders>
          </w:tcPr>
          <w:p w:rsidR="00540E29" w:rsidRDefault="00540E29" w:rsidP="00540E29">
            <w:pPr>
              <w:spacing w:line="259" w:lineRule="auto"/>
              <w:ind w:left="1"/>
            </w:pPr>
            <w:r>
              <w:rPr>
                <w:rFonts w:ascii="Calibri" w:eastAsia="Calibri" w:hAnsi="Calibri" w:cs="Calibri"/>
                <w:sz w:val="18"/>
              </w:rPr>
              <w:t xml:space="preserve">Trustees </w:t>
            </w:r>
          </w:p>
        </w:tc>
        <w:tc>
          <w:tcPr>
            <w:tcW w:w="1841" w:type="dxa"/>
            <w:tcBorders>
              <w:top w:val="single" w:sz="4" w:space="0" w:color="000000"/>
              <w:left w:val="single" w:sz="4" w:space="0" w:color="000000"/>
              <w:bottom w:val="single" w:sz="4" w:space="0" w:color="000000"/>
              <w:right w:val="single" w:sz="4" w:space="0" w:color="000000"/>
            </w:tcBorders>
          </w:tcPr>
          <w:p w:rsidR="00540E29" w:rsidRDefault="00540E29" w:rsidP="00540E29">
            <w:pPr>
              <w:spacing w:after="1"/>
              <w:ind w:left="1" w:right="7"/>
            </w:pPr>
            <w:r>
              <w:rPr>
                <w:rFonts w:ascii="Calibri" w:eastAsia="Calibri" w:hAnsi="Calibri" w:cs="Calibri"/>
                <w:sz w:val="18"/>
              </w:rPr>
              <w:t>CFO of Trust with Trust Chairman</w:t>
            </w:r>
          </w:p>
          <w:p w:rsidR="00540E29" w:rsidRDefault="00540E29" w:rsidP="00540E29">
            <w:pPr>
              <w:spacing w:line="259" w:lineRule="auto"/>
              <w:ind w:left="1"/>
            </w:pPr>
          </w:p>
          <w:p w:rsidR="00540E29" w:rsidRDefault="00540E29" w:rsidP="00540E29">
            <w:pPr>
              <w:spacing w:line="259" w:lineRule="auto"/>
              <w:ind w:left="1"/>
            </w:pPr>
            <w:r>
              <w:rPr>
                <w:rFonts w:ascii="Calibri" w:eastAsia="Calibri" w:hAnsi="Calibri" w:cs="Calibri"/>
                <w:sz w:val="18"/>
              </w:rPr>
              <w:t xml:space="preserve"> </w:t>
            </w:r>
          </w:p>
        </w:tc>
        <w:tc>
          <w:tcPr>
            <w:tcW w:w="1846" w:type="dxa"/>
            <w:tcBorders>
              <w:top w:val="single" w:sz="4" w:space="0" w:color="000000"/>
              <w:left w:val="single" w:sz="4" w:space="0" w:color="000000"/>
              <w:bottom w:val="single" w:sz="4" w:space="0" w:color="000000"/>
              <w:right w:val="single" w:sz="4" w:space="0" w:color="000000"/>
            </w:tcBorders>
          </w:tcPr>
          <w:p w:rsidR="00540E29" w:rsidRDefault="00540E29" w:rsidP="00540E29">
            <w:pPr>
              <w:spacing w:line="259" w:lineRule="auto"/>
              <w:ind w:left="1"/>
            </w:pPr>
            <w:r>
              <w:rPr>
                <w:rFonts w:ascii="Calibri" w:eastAsia="Calibri" w:hAnsi="Calibri" w:cs="Calibri"/>
                <w:sz w:val="18"/>
              </w:rPr>
              <w:t xml:space="preserve">school website, trade press or website, and, if appropriate </w:t>
            </w:r>
            <w:proofErr w:type="gramStart"/>
            <w:r>
              <w:rPr>
                <w:rFonts w:ascii="Calibri" w:eastAsia="Calibri" w:hAnsi="Calibri" w:cs="Calibri"/>
                <w:sz w:val="18"/>
              </w:rPr>
              <w:t>non mandatory</w:t>
            </w:r>
            <w:proofErr w:type="gramEnd"/>
            <w:r>
              <w:rPr>
                <w:rFonts w:ascii="Calibri" w:eastAsia="Calibri" w:hAnsi="Calibri" w:cs="Calibri"/>
                <w:sz w:val="18"/>
              </w:rPr>
              <w:t xml:space="preserve"> advert on Contracts Finder. </w:t>
            </w:r>
          </w:p>
        </w:tc>
        <w:tc>
          <w:tcPr>
            <w:tcW w:w="2270" w:type="dxa"/>
            <w:tcBorders>
              <w:top w:val="single" w:sz="4" w:space="0" w:color="000000"/>
              <w:left w:val="single" w:sz="4" w:space="0" w:color="000000"/>
              <w:bottom w:val="single" w:sz="4" w:space="0" w:color="000000"/>
              <w:right w:val="single" w:sz="4" w:space="0" w:color="000000"/>
            </w:tcBorders>
          </w:tcPr>
          <w:p w:rsidR="00540E29" w:rsidRDefault="00540E29" w:rsidP="00540E29">
            <w:pPr>
              <w:spacing w:line="259" w:lineRule="auto"/>
              <w:ind w:left="1"/>
            </w:pPr>
            <w:r>
              <w:rPr>
                <w:rFonts w:ascii="Calibri" w:eastAsia="Calibri" w:hAnsi="Calibri" w:cs="Calibri"/>
                <w:sz w:val="18"/>
              </w:rPr>
              <w:t>As per rules set out in existing contract/ framework or competitive tender</w:t>
            </w:r>
          </w:p>
        </w:tc>
        <w:tc>
          <w:tcPr>
            <w:tcW w:w="1839" w:type="dxa"/>
            <w:tcBorders>
              <w:top w:val="single" w:sz="4" w:space="0" w:color="000000"/>
              <w:left w:val="single" w:sz="4" w:space="0" w:color="000000"/>
              <w:bottom w:val="single" w:sz="4" w:space="0" w:color="000000"/>
              <w:right w:val="single" w:sz="4" w:space="0" w:color="000000"/>
            </w:tcBorders>
          </w:tcPr>
          <w:p w:rsidR="00540E29" w:rsidRDefault="00540E29" w:rsidP="00540E29">
            <w:pPr>
              <w:spacing w:after="1"/>
              <w:ind w:left="1"/>
            </w:pPr>
            <w:r>
              <w:rPr>
                <w:rFonts w:ascii="Calibri" w:eastAsia="Calibri" w:hAnsi="Calibri" w:cs="Calibri"/>
                <w:sz w:val="18"/>
              </w:rPr>
              <w:t xml:space="preserve">Trusts or supplier’s standard terms and conditions.  </w:t>
            </w:r>
          </w:p>
          <w:p w:rsidR="00540E29" w:rsidRDefault="00540E29" w:rsidP="00540E29">
            <w:pPr>
              <w:spacing w:line="241" w:lineRule="auto"/>
              <w:ind w:left="1"/>
            </w:pPr>
          </w:p>
        </w:tc>
      </w:tr>
      <w:tr w:rsidR="00540E29" w:rsidTr="00540E29">
        <w:trPr>
          <w:trHeight w:val="1328"/>
        </w:trPr>
        <w:tc>
          <w:tcPr>
            <w:tcW w:w="1669" w:type="dxa"/>
            <w:tcBorders>
              <w:top w:val="single" w:sz="4" w:space="0" w:color="000000"/>
              <w:left w:val="single" w:sz="4" w:space="0" w:color="000000"/>
              <w:bottom w:val="single" w:sz="4" w:space="0" w:color="000000"/>
              <w:right w:val="single" w:sz="4" w:space="0" w:color="000000"/>
            </w:tcBorders>
          </w:tcPr>
          <w:p w:rsidR="00540E29" w:rsidRDefault="00540E29" w:rsidP="00540E29">
            <w:pPr>
              <w:spacing w:line="259" w:lineRule="auto"/>
            </w:pPr>
            <w:r>
              <w:rPr>
                <w:rFonts w:ascii="Calibri" w:eastAsia="Calibri" w:hAnsi="Calibri" w:cs="Calibri"/>
                <w:sz w:val="18"/>
              </w:rPr>
              <w:t xml:space="preserve">At </w:t>
            </w:r>
            <w:r w:rsidR="00E6108B">
              <w:rPr>
                <w:rFonts w:ascii="Calibri" w:eastAsia="Calibri" w:hAnsi="Calibri" w:cs="Calibri"/>
                <w:sz w:val="18"/>
              </w:rPr>
              <w:t>PCR</w:t>
            </w:r>
            <w:r>
              <w:rPr>
                <w:rFonts w:ascii="Calibri" w:eastAsia="Calibri" w:hAnsi="Calibri" w:cs="Calibri"/>
                <w:sz w:val="18"/>
              </w:rPr>
              <w:t xml:space="preserve"> Threshold or </w:t>
            </w:r>
          </w:p>
          <w:p w:rsidR="00540E29" w:rsidRDefault="00540E29" w:rsidP="00540E29">
            <w:pPr>
              <w:spacing w:line="259" w:lineRule="auto"/>
            </w:pPr>
            <w:r>
              <w:rPr>
                <w:rFonts w:ascii="Calibri" w:eastAsia="Calibri" w:hAnsi="Calibri" w:cs="Calibri"/>
                <w:sz w:val="18"/>
              </w:rPr>
              <w:t xml:space="preserve">above </w:t>
            </w:r>
          </w:p>
          <w:p w:rsidR="00540E29" w:rsidRDefault="00540E29" w:rsidP="00540E29">
            <w:pPr>
              <w:spacing w:line="259" w:lineRule="auto"/>
            </w:pPr>
            <w:r>
              <w:rPr>
                <w:rFonts w:ascii="Calibri" w:eastAsia="Calibri" w:hAnsi="Calibri" w:cs="Calibri"/>
                <w:sz w:val="18"/>
              </w:rPr>
              <w:t xml:space="preserve">   </w:t>
            </w:r>
          </w:p>
        </w:tc>
        <w:tc>
          <w:tcPr>
            <w:tcW w:w="4107" w:type="dxa"/>
            <w:tcBorders>
              <w:top w:val="single" w:sz="4" w:space="0" w:color="000000"/>
              <w:left w:val="single" w:sz="4" w:space="0" w:color="000000"/>
              <w:bottom w:val="single" w:sz="4" w:space="0" w:color="000000"/>
              <w:right w:val="single" w:sz="4" w:space="0" w:color="000000"/>
            </w:tcBorders>
          </w:tcPr>
          <w:p w:rsidR="00540E29" w:rsidRDefault="00540E29" w:rsidP="00540E29">
            <w:pPr>
              <w:numPr>
                <w:ilvl w:val="0"/>
                <w:numId w:val="5"/>
              </w:numPr>
              <w:spacing w:line="259" w:lineRule="auto"/>
              <w:ind w:left="177" w:hanging="142"/>
            </w:pPr>
            <w:r>
              <w:rPr>
                <w:rFonts w:ascii="Calibri" w:eastAsia="Calibri" w:hAnsi="Calibri" w:cs="Calibri"/>
                <w:sz w:val="18"/>
              </w:rPr>
              <w:t xml:space="preserve">Procurement process compliant with PCR 2015; or </w:t>
            </w:r>
          </w:p>
          <w:p w:rsidR="00540E29" w:rsidRDefault="00540E29" w:rsidP="00540E29">
            <w:pPr>
              <w:numPr>
                <w:ilvl w:val="0"/>
                <w:numId w:val="5"/>
              </w:numPr>
              <w:spacing w:line="259" w:lineRule="auto"/>
              <w:ind w:left="177" w:hanging="142"/>
            </w:pPr>
            <w:r>
              <w:rPr>
                <w:rFonts w:ascii="Calibri" w:eastAsia="Calibri" w:hAnsi="Calibri" w:cs="Calibri"/>
                <w:sz w:val="18"/>
              </w:rPr>
              <w:t xml:space="preserve">Call off from framework agreement/DPS available to the School. </w:t>
            </w:r>
          </w:p>
        </w:tc>
        <w:tc>
          <w:tcPr>
            <w:tcW w:w="2413" w:type="dxa"/>
            <w:tcBorders>
              <w:top w:val="single" w:sz="4" w:space="0" w:color="000000"/>
              <w:left w:val="single" w:sz="4" w:space="0" w:color="000000"/>
              <w:bottom w:val="single" w:sz="4" w:space="0" w:color="000000"/>
              <w:right w:val="single" w:sz="4" w:space="0" w:color="000000"/>
            </w:tcBorders>
          </w:tcPr>
          <w:p w:rsidR="00540E29" w:rsidRDefault="00540E29" w:rsidP="00540E29">
            <w:pPr>
              <w:spacing w:line="259" w:lineRule="auto"/>
              <w:ind w:left="1"/>
            </w:pPr>
            <w:r>
              <w:rPr>
                <w:rFonts w:ascii="Calibri" w:eastAsia="Calibri" w:hAnsi="Calibri" w:cs="Calibri"/>
                <w:sz w:val="18"/>
              </w:rPr>
              <w:t xml:space="preserve">Trustees </w:t>
            </w:r>
          </w:p>
        </w:tc>
        <w:tc>
          <w:tcPr>
            <w:tcW w:w="1841" w:type="dxa"/>
            <w:tcBorders>
              <w:top w:val="single" w:sz="4" w:space="0" w:color="000000"/>
              <w:left w:val="single" w:sz="4" w:space="0" w:color="000000"/>
              <w:bottom w:val="single" w:sz="4" w:space="0" w:color="000000"/>
              <w:right w:val="single" w:sz="4" w:space="0" w:color="000000"/>
            </w:tcBorders>
          </w:tcPr>
          <w:p w:rsidR="00540E29" w:rsidRDefault="00540E29" w:rsidP="00540E29">
            <w:pPr>
              <w:spacing w:after="1"/>
              <w:ind w:left="1" w:right="7"/>
            </w:pPr>
            <w:r>
              <w:rPr>
                <w:rFonts w:ascii="Calibri" w:eastAsia="Calibri" w:hAnsi="Calibri" w:cs="Calibri"/>
                <w:sz w:val="18"/>
              </w:rPr>
              <w:t>CFO of Trust with Trust Chairman</w:t>
            </w:r>
          </w:p>
          <w:p w:rsidR="00540E29" w:rsidRDefault="00540E29" w:rsidP="00540E29">
            <w:pPr>
              <w:spacing w:line="259" w:lineRule="auto"/>
              <w:ind w:left="1"/>
            </w:pPr>
            <w:r>
              <w:rPr>
                <w:rFonts w:ascii="Calibri" w:eastAsia="Calibri" w:hAnsi="Calibri" w:cs="Calibri"/>
                <w:sz w:val="18"/>
              </w:rPr>
              <w:t xml:space="preserve"> </w:t>
            </w:r>
          </w:p>
          <w:p w:rsidR="00540E29" w:rsidRDefault="00540E29" w:rsidP="00540E29">
            <w:pPr>
              <w:spacing w:line="259" w:lineRule="auto"/>
              <w:ind w:left="1"/>
            </w:pPr>
          </w:p>
        </w:tc>
        <w:tc>
          <w:tcPr>
            <w:tcW w:w="1846" w:type="dxa"/>
            <w:tcBorders>
              <w:top w:val="single" w:sz="4" w:space="0" w:color="000000"/>
              <w:left w:val="single" w:sz="4" w:space="0" w:color="000000"/>
              <w:bottom w:val="single" w:sz="4" w:space="0" w:color="000000"/>
              <w:right w:val="single" w:sz="4" w:space="0" w:color="000000"/>
            </w:tcBorders>
          </w:tcPr>
          <w:p w:rsidR="00540E29" w:rsidRDefault="00540E29" w:rsidP="00540E29">
            <w:pPr>
              <w:spacing w:line="259" w:lineRule="auto"/>
              <w:ind w:left="1"/>
            </w:pPr>
            <w:r>
              <w:rPr>
                <w:rFonts w:ascii="Calibri" w:eastAsia="Calibri" w:hAnsi="Calibri" w:cs="Calibri"/>
                <w:sz w:val="18"/>
              </w:rPr>
              <w:t xml:space="preserve">Contracts Finder. </w:t>
            </w:r>
          </w:p>
        </w:tc>
        <w:tc>
          <w:tcPr>
            <w:tcW w:w="2270" w:type="dxa"/>
            <w:tcBorders>
              <w:top w:val="single" w:sz="4" w:space="0" w:color="000000"/>
              <w:left w:val="single" w:sz="4" w:space="0" w:color="000000"/>
              <w:bottom w:val="single" w:sz="4" w:space="0" w:color="000000"/>
              <w:right w:val="single" w:sz="4" w:space="0" w:color="000000"/>
            </w:tcBorders>
          </w:tcPr>
          <w:p w:rsidR="00540E29" w:rsidRDefault="00540E29" w:rsidP="00540E29">
            <w:pPr>
              <w:spacing w:line="259" w:lineRule="auto"/>
              <w:ind w:left="1" w:right="129"/>
            </w:pPr>
            <w:r>
              <w:rPr>
                <w:rFonts w:ascii="Calibri" w:eastAsia="Calibri" w:hAnsi="Calibri" w:cs="Calibri"/>
                <w:sz w:val="18"/>
              </w:rPr>
              <w:t xml:space="preserve">As </w:t>
            </w:r>
            <w:bookmarkStart w:id="0" w:name="_GoBack"/>
            <w:bookmarkEnd w:id="0"/>
            <w:r>
              <w:rPr>
                <w:rFonts w:ascii="Calibri" w:eastAsia="Calibri" w:hAnsi="Calibri" w:cs="Calibri"/>
                <w:sz w:val="18"/>
              </w:rPr>
              <w:t>per rules set out in existing contract/ framework  or competitive tender in compliance with PCR 2015 through e</w:t>
            </w:r>
            <w:r w:rsidR="00E6108B">
              <w:rPr>
                <w:rFonts w:ascii="Calibri" w:eastAsia="Calibri" w:hAnsi="Calibri" w:cs="Calibri"/>
                <w:sz w:val="18"/>
              </w:rPr>
              <w:t>-</w:t>
            </w:r>
            <w:r>
              <w:rPr>
                <w:rFonts w:ascii="Calibri" w:eastAsia="Calibri" w:hAnsi="Calibri" w:cs="Calibri"/>
                <w:sz w:val="18"/>
              </w:rPr>
              <w:t xml:space="preserve">sourcing portal. </w:t>
            </w:r>
          </w:p>
        </w:tc>
        <w:tc>
          <w:tcPr>
            <w:tcW w:w="1839" w:type="dxa"/>
            <w:tcBorders>
              <w:top w:val="single" w:sz="4" w:space="0" w:color="000000"/>
              <w:left w:val="single" w:sz="4" w:space="0" w:color="000000"/>
              <w:bottom w:val="single" w:sz="4" w:space="0" w:color="000000"/>
              <w:right w:val="single" w:sz="4" w:space="0" w:color="000000"/>
            </w:tcBorders>
          </w:tcPr>
          <w:p w:rsidR="00540E29" w:rsidRDefault="00540E29" w:rsidP="00540E29">
            <w:pPr>
              <w:spacing w:after="1"/>
              <w:ind w:left="1"/>
            </w:pPr>
            <w:r>
              <w:rPr>
                <w:rFonts w:ascii="Calibri" w:eastAsia="Calibri" w:hAnsi="Calibri" w:cs="Calibri"/>
                <w:sz w:val="18"/>
              </w:rPr>
              <w:t xml:space="preserve">Trusts or supplier’s standard terms and conditions.  </w:t>
            </w:r>
          </w:p>
          <w:p w:rsidR="00540E29" w:rsidRDefault="00540E29" w:rsidP="00540E29">
            <w:pPr>
              <w:spacing w:line="259" w:lineRule="auto"/>
              <w:ind w:left="1"/>
            </w:pPr>
            <w:r>
              <w:rPr>
                <w:rFonts w:ascii="Calibri" w:eastAsia="Calibri" w:hAnsi="Calibri" w:cs="Calibri"/>
                <w:sz w:val="18"/>
              </w:rPr>
              <w:t xml:space="preserve">  </w:t>
            </w:r>
          </w:p>
        </w:tc>
      </w:tr>
    </w:tbl>
    <w:p w:rsidR="00540E29" w:rsidRDefault="00540E29" w:rsidP="00540E29">
      <w:pPr>
        <w:spacing w:after="15" w:line="250" w:lineRule="auto"/>
        <w:ind w:left="10" w:hanging="10"/>
      </w:pPr>
      <w:r>
        <w:rPr>
          <w:rFonts w:ascii="Calibri" w:eastAsia="Calibri" w:hAnsi="Calibri" w:cs="Calibri"/>
          <w:sz w:val="16"/>
        </w:rPr>
        <w:t xml:space="preserve">Notes: </w:t>
      </w:r>
    </w:p>
    <w:p w:rsidR="00540E29" w:rsidRDefault="00540E29" w:rsidP="00540E29">
      <w:pPr>
        <w:numPr>
          <w:ilvl w:val="0"/>
          <w:numId w:val="1"/>
        </w:numPr>
        <w:spacing w:after="15" w:line="250" w:lineRule="auto"/>
        <w:ind w:hanging="360"/>
      </w:pPr>
      <w:r>
        <w:rPr>
          <w:rFonts w:ascii="Calibri" w:eastAsia="Calibri" w:hAnsi="Calibri" w:cs="Calibri"/>
          <w:sz w:val="16"/>
        </w:rPr>
        <w:t xml:space="preserve">The EU Thresholds from 01.01.18– 31.12.19 are: Supplies </w:t>
      </w:r>
      <w:r w:rsidR="00E6108B">
        <w:rPr>
          <w:rFonts w:ascii="Calibri" w:eastAsia="Calibri" w:hAnsi="Calibri" w:cs="Calibri"/>
          <w:sz w:val="16"/>
        </w:rPr>
        <w:t>and</w:t>
      </w:r>
      <w:r>
        <w:rPr>
          <w:rFonts w:ascii="Calibri" w:eastAsia="Calibri" w:hAnsi="Calibri" w:cs="Calibri"/>
          <w:sz w:val="16"/>
        </w:rPr>
        <w:t xml:space="preserve"> Services - </w:t>
      </w:r>
      <w:r w:rsidR="00E6108B">
        <w:rPr>
          <w:rFonts w:ascii="Calibri" w:eastAsia="Calibri" w:hAnsi="Calibri" w:cs="Calibri"/>
          <w:sz w:val="16"/>
        </w:rPr>
        <w:t>£213,477</w:t>
      </w:r>
      <w:r>
        <w:rPr>
          <w:rFonts w:ascii="Calibri" w:eastAsia="Calibri" w:hAnsi="Calibri" w:cs="Calibri"/>
          <w:sz w:val="16"/>
        </w:rPr>
        <w:t>, “</w:t>
      </w:r>
      <w:proofErr w:type="gramStart"/>
      <w:r w:rsidR="00E6108B">
        <w:rPr>
          <w:rFonts w:ascii="Calibri" w:eastAsia="Calibri" w:hAnsi="Calibri" w:cs="Calibri"/>
          <w:sz w:val="16"/>
        </w:rPr>
        <w:t xml:space="preserve">and </w:t>
      </w:r>
      <w:r>
        <w:rPr>
          <w:rFonts w:ascii="Calibri" w:eastAsia="Calibri" w:hAnsi="Calibri" w:cs="Calibri"/>
          <w:sz w:val="16"/>
        </w:rPr>
        <w:t xml:space="preserve"> Works</w:t>
      </w:r>
      <w:proofErr w:type="gramEnd"/>
      <w:r>
        <w:rPr>
          <w:rFonts w:ascii="Calibri" w:eastAsia="Calibri" w:hAnsi="Calibri" w:cs="Calibri"/>
          <w:sz w:val="16"/>
        </w:rPr>
        <w:t xml:space="preserve"> -- £</w:t>
      </w:r>
      <w:r w:rsidR="00E6108B">
        <w:rPr>
          <w:rFonts w:ascii="Calibri" w:eastAsia="Calibri" w:hAnsi="Calibri" w:cs="Calibri"/>
          <w:sz w:val="16"/>
        </w:rPr>
        <w:t>5,336,938</w:t>
      </w:r>
      <w:r>
        <w:rPr>
          <w:rFonts w:ascii="Calibri" w:eastAsia="Calibri" w:hAnsi="Calibri" w:cs="Calibri"/>
          <w:sz w:val="16"/>
        </w:rPr>
        <w:t xml:space="preserve"> </w:t>
      </w:r>
      <w:r>
        <w:rPr>
          <w:rFonts w:ascii="Calibri" w:eastAsia="Calibri" w:hAnsi="Calibri" w:cs="Calibri"/>
          <w:sz w:val="16"/>
        </w:rPr>
        <w:tab/>
        <w:t xml:space="preserve"> </w:t>
      </w:r>
    </w:p>
    <w:p w:rsidR="00540E29" w:rsidRDefault="00540E29" w:rsidP="00540E29">
      <w:pPr>
        <w:numPr>
          <w:ilvl w:val="0"/>
          <w:numId w:val="1"/>
        </w:numPr>
        <w:spacing w:after="15" w:line="250" w:lineRule="auto"/>
        <w:ind w:hanging="360"/>
      </w:pPr>
      <w:r>
        <w:rPr>
          <w:rFonts w:ascii="Calibri" w:eastAsia="Calibri" w:hAnsi="Calibri" w:cs="Calibri"/>
          <w:sz w:val="16"/>
        </w:rPr>
        <w:t xml:space="preserve">The value of the contract is the total value over the whole period of the contract, including any possible extensions.  </w:t>
      </w:r>
      <w:r w:rsidR="00E6108B">
        <w:rPr>
          <w:rFonts w:ascii="Calibri" w:eastAsia="Calibri" w:hAnsi="Calibri" w:cs="Calibri"/>
          <w:sz w:val="16"/>
        </w:rPr>
        <w:t>If a rolling contract take total value over previous 4 years into account</w:t>
      </w:r>
    </w:p>
    <w:p w:rsidR="00540E29" w:rsidRDefault="00540E29" w:rsidP="00540E29">
      <w:pPr>
        <w:numPr>
          <w:ilvl w:val="0"/>
          <w:numId w:val="1"/>
        </w:numPr>
        <w:spacing w:after="15" w:line="250" w:lineRule="auto"/>
        <w:ind w:hanging="360"/>
      </w:pPr>
      <w:r>
        <w:rPr>
          <w:rFonts w:ascii="Calibri" w:eastAsia="Calibri" w:hAnsi="Calibri" w:cs="Calibri"/>
          <w:sz w:val="16"/>
        </w:rPr>
        <w:t xml:space="preserve">Where the Public Contracts Regulations 2015 (“PCR 2015”) apply, they apply in addition to the SSOPC and override the SSOPC where there is any conflict. </w:t>
      </w:r>
    </w:p>
    <w:p w:rsidR="00540E29" w:rsidRDefault="00540E29" w:rsidP="00B11F34">
      <w:pPr>
        <w:numPr>
          <w:ilvl w:val="0"/>
          <w:numId w:val="1"/>
        </w:numPr>
        <w:spacing w:after="15" w:line="250" w:lineRule="auto"/>
        <w:ind w:hanging="360"/>
      </w:pPr>
      <w:r w:rsidRPr="00540E29">
        <w:rPr>
          <w:rFonts w:ascii="Calibri" w:eastAsia="Calibri" w:hAnsi="Calibri" w:cs="Calibri"/>
          <w:sz w:val="16"/>
        </w:rPr>
        <w:t xml:space="preserve">Before issuing any request for quotation or invitation to tender, the specification and contract terms and conditions must be completed and provided to all potential suppliers at the same time as the request for quote/ITT is issued. </w:t>
      </w:r>
    </w:p>
    <w:sectPr w:rsidR="00540E29" w:rsidSect="00540E2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E32CA"/>
    <w:multiLevelType w:val="hybridMultilevel"/>
    <w:tmpl w:val="51988C50"/>
    <w:lvl w:ilvl="0" w:tplc="7D5EEB30">
      <w:start w:val="1"/>
      <w:numFmt w:val="bullet"/>
      <w:lvlText w:val="•"/>
      <w:lvlJc w:val="left"/>
      <w:pPr>
        <w:ind w:left="17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3FC1830">
      <w:start w:val="1"/>
      <w:numFmt w:val="bullet"/>
      <w:lvlText w:val="o"/>
      <w:lvlJc w:val="left"/>
      <w:pPr>
        <w:ind w:left="12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5E9CFD76">
      <w:start w:val="1"/>
      <w:numFmt w:val="bullet"/>
      <w:lvlText w:val="▪"/>
      <w:lvlJc w:val="left"/>
      <w:pPr>
        <w:ind w:left="19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4698C428">
      <w:start w:val="1"/>
      <w:numFmt w:val="bullet"/>
      <w:lvlText w:val="•"/>
      <w:lvlJc w:val="left"/>
      <w:pPr>
        <w:ind w:left="26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1E83068">
      <w:start w:val="1"/>
      <w:numFmt w:val="bullet"/>
      <w:lvlText w:val="o"/>
      <w:lvlJc w:val="left"/>
      <w:pPr>
        <w:ind w:left="33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79E25CD0">
      <w:start w:val="1"/>
      <w:numFmt w:val="bullet"/>
      <w:lvlText w:val="▪"/>
      <w:lvlJc w:val="left"/>
      <w:pPr>
        <w:ind w:left="40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FC502F4A">
      <w:start w:val="1"/>
      <w:numFmt w:val="bullet"/>
      <w:lvlText w:val="•"/>
      <w:lvlJc w:val="left"/>
      <w:pPr>
        <w:ind w:left="4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76CE354C">
      <w:start w:val="1"/>
      <w:numFmt w:val="bullet"/>
      <w:lvlText w:val="o"/>
      <w:lvlJc w:val="left"/>
      <w:pPr>
        <w:ind w:left="55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ECF280B0">
      <w:start w:val="1"/>
      <w:numFmt w:val="bullet"/>
      <w:lvlText w:val="▪"/>
      <w:lvlJc w:val="left"/>
      <w:pPr>
        <w:ind w:left="62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29055AFD"/>
    <w:multiLevelType w:val="hybridMultilevel"/>
    <w:tmpl w:val="C6007458"/>
    <w:lvl w:ilvl="0" w:tplc="B524DE48">
      <w:start w:val="1"/>
      <w:numFmt w:val="bullet"/>
      <w:lvlText w:val="•"/>
      <w:lvlJc w:val="left"/>
      <w:pPr>
        <w:ind w:left="17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24C27112">
      <w:start w:val="1"/>
      <w:numFmt w:val="bullet"/>
      <w:lvlText w:val="o"/>
      <w:lvlJc w:val="left"/>
      <w:pPr>
        <w:ind w:left="122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3F62FBF6">
      <w:start w:val="1"/>
      <w:numFmt w:val="bullet"/>
      <w:lvlText w:val="▪"/>
      <w:lvlJc w:val="left"/>
      <w:pPr>
        <w:ind w:left="194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AF0295A0">
      <w:start w:val="1"/>
      <w:numFmt w:val="bullet"/>
      <w:lvlText w:val="•"/>
      <w:lvlJc w:val="left"/>
      <w:pPr>
        <w:ind w:left="266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9334A526">
      <w:start w:val="1"/>
      <w:numFmt w:val="bullet"/>
      <w:lvlText w:val="o"/>
      <w:lvlJc w:val="left"/>
      <w:pPr>
        <w:ind w:left="338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3F10A33A">
      <w:start w:val="1"/>
      <w:numFmt w:val="bullet"/>
      <w:lvlText w:val="▪"/>
      <w:lvlJc w:val="left"/>
      <w:pPr>
        <w:ind w:left="410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958CC51E">
      <w:start w:val="1"/>
      <w:numFmt w:val="bullet"/>
      <w:lvlText w:val="•"/>
      <w:lvlJc w:val="left"/>
      <w:pPr>
        <w:ind w:left="482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4628012">
      <w:start w:val="1"/>
      <w:numFmt w:val="bullet"/>
      <w:lvlText w:val="o"/>
      <w:lvlJc w:val="left"/>
      <w:pPr>
        <w:ind w:left="554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C2EE9E18">
      <w:start w:val="1"/>
      <w:numFmt w:val="bullet"/>
      <w:lvlText w:val="▪"/>
      <w:lvlJc w:val="left"/>
      <w:pPr>
        <w:ind w:left="626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2B1E5BD8"/>
    <w:multiLevelType w:val="hybridMultilevel"/>
    <w:tmpl w:val="66E62464"/>
    <w:lvl w:ilvl="0" w:tplc="554214DC">
      <w:start w:val="1"/>
      <w:numFmt w:val="bullet"/>
      <w:lvlText w:val="•"/>
      <w:lvlJc w:val="left"/>
      <w:pPr>
        <w:ind w:left="17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5FA427C">
      <w:start w:val="1"/>
      <w:numFmt w:val="bullet"/>
      <w:lvlText w:val="o"/>
      <w:lvlJc w:val="left"/>
      <w:pPr>
        <w:ind w:left="122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18688E9A">
      <w:start w:val="1"/>
      <w:numFmt w:val="bullet"/>
      <w:lvlText w:val="▪"/>
      <w:lvlJc w:val="left"/>
      <w:pPr>
        <w:ind w:left="194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44E67706">
      <w:start w:val="1"/>
      <w:numFmt w:val="bullet"/>
      <w:lvlText w:val="•"/>
      <w:lvlJc w:val="left"/>
      <w:pPr>
        <w:ind w:left="266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9B104A1A">
      <w:start w:val="1"/>
      <w:numFmt w:val="bullet"/>
      <w:lvlText w:val="o"/>
      <w:lvlJc w:val="left"/>
      <w:pPr>
        <w:ind w:left="338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52CA78C0">
      <w:start w:val="1"/>
      <w:numFmt w:val="bullet"/>
      <w:lvlText w:val="▪"/>
      <w:lvlJc w:val="left"/>
      <w:pPr>
        <w:ind w:left="410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F3B64790">
      <w:start w:val="1"/>
      <w:numFmt w:val="bullet"/>
      <w:lvlText w:val="•"/>
      <w:lvlJc w:val="left"/>
      <w:pPr>
        <w:ind w:left="482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F76AC32">
      <w:start w:val="1"/>
      <w:numFmt w:val="bullet"/>
      <w:lvlText w:val="o"/>
      <w:lvlJc w:val="left"/>
      <w:pPr>
        <w:ind w:left="554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A746BFB4">
      <w:start w:val="1"/>
      <w:numFmt w:val="bullet"/>
      <w:lvlText w:val="▪"/>
      <w:lvlJc w:val="left"/>
      <w:pPr>
        <w:ind w:left="626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3C943459"/>
    <w:multiLevelType w:val="hybridMultilevel"/>
    <w:tmpl w:val="E73A204E"/>
    <w:lvl w:ilvl="0" w:tplc="D356098A">
      <w:start w:val="1"/>
      <w:numFmt w:val="bullet"/>
      <w:lvlText w:val="•"/>
      <w:lvlJc w:val="left"/>
      <w:pPr>
        <w:ind w:left="17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BFA7936">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840ADC3C">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7A6AC05E">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49CA4B80">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E780DBDC">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19A63D7A">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E542BDBC">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50E004F8">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58057AFD"/>
    <w:multiLevelType w:val="hybridMultilevel"/>
    <w:tmpl w:val="02F49414"/>
    <w:lvl w:ilvl="0" w:tplc="5E9E2F9C">
      <w:start w:val="1"/>
      <w:numFmt w:val="decimal"/>
      <w:lvlText w:val="%1."/>
      <w:lvlJc w:val="left"/>
      <w:pPr>
        <w:ind w:left="14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D22092AE">
      <w:start w:val="1"/>
      <w:numFmt w:val="lowerLetter"/>
      <w:lvlText w:val="%2"/>
      <w:lvlJc w:val="left"/>
      <w:pPr>
        <w:ind w:left="158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A01829FA">
      <w:start w:val="1"/>
      <w:numFmt w:val="lowerRoman"/>
      <w:lvlText w:val="%3"/>
      <w:lvlJc w:val="left"/>
      <w:pPr>
        <w:ind w:left="230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C7A0DE6E">
      <w:start w:val="1"/>
      <w:numFmt w:val="decimal"/>
      <w:lvlText w:val="%4"/>
      <w:lvlJc w:val="left"/>
      <w:pPr>
        <w:ind w:left="302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AF78049A">
      <w:start w:val="1"/>
      <w:numFmt w:val="lowerLetter"/>
      <w:lvlText w:val="%5"/>
      <w:lvlJc w:val="left"/>
      <w:pPr>
        <w:ind w:left="374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F6CECE8E">
      <w:start w:val="1"/>
      <w:numFmt w:val="lowerRoman"/>
      <w:lvlText w:val="%6"/>
      <w:lvlJc w:val="left"/>
      <w:pPr>
        <w:ind w:left="446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B9044B9C">
      <w:start w:val="1"/>
      <w:numFmt w:val="decimal"/>
      <w:lvlText w:val="%7"/>
      <w:lvlJc w:val="left"/>
      <w:pPr>
        <w:ind w:left="518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F104B86C">
      <w:start w:val="1"/>
      <w:numFmt w:val="lowerLetter"/>
      <w:lvlText w:val="%8"/>
      <w:lvlJc w:val="left"/>
      <w:pPr>
        <w:ind w:left="590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9D44D76E">
      <w:start w:val="1"/>
      <w:numFmt w:val="lowerRoman"/>
      <w:lvlText w:val="%9"/>
      <w:lvlJc w:val="left"/>
      <w:pPr>
        <w:ind w:left="662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5" w15:restartNumberingAfterBreak="0">
    <w:nsid w:val="6C845505"/>
    <w:multiLevelType w:val="hybridMultilevel"/>
    <w:tmpl w:val="DACEBCC6"/>
    <w:lvl w:ilvl="0" w:tplc="96C6CED2">
      <w:start w:val="1"/>
      <w:numFmt w:val="bullet"/>
      <w:lvlText w:val="•"/>
      <w:lvlJc w:val="left"/>
      <w:pPr>
        <w:ind w:left="17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E08CF69C">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79E81AF2">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34AAAD12">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91ED24A">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FD262032">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83527144">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CCAF168">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CC348B44">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num w:numId="1">
    <w:abstractNumId w:val="4"/>
  </w:num>
  <w:num w:numId="2">
    <w:abstractNumId w:val="1"/>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E29"/>
    <w:rsid w:val="001A2296"/>
    <w:rsid w:val="00540E29"/>
    <w:rsid w:val="00726F4A"/>
    <w:rsid w:val="00A01670"/>
    <w:rsid w:val="00E610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C0373"/>
  <w15:chartTrackingRefBased/>
  <w15:docId w15:val="{6ADBB748-76AD-48A4-86B7-F59A123AC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540E2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540E29"/>
    <w:rPr>
      <w:rFonts w:asciiTheme="majorHAnsi" w:eastAsiaTheme="majorEastAsia" w:hAnsiTheme="majorHAnsi" w:cstheme="majorBidi"/>
      <w:color w:val="1F4D78" w:themeColor="accent1" w:themeShade="7F"/>
      <w:sz w:val="24"/>
      <w:szCs w:val="24"/>
    </w:rPr>
  </w:style>
  <w:style w:type="table" w:customStyle="1" w:styleId="TableGrid">
    <w:name w:val="TableGrid"/>
    <w:rsid w:val="00540E29"/>
    <w:pPr>
      <w:spacing w:after="0" w:line="240" w:lineRule="auto"/>
    </w:pPr>
    <w:rPr>
      <w:rFonts w:eastAsiaTheme="minorEastAsia"/>
      <w:lang w:eastAsia="en-GB"/>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A016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16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400</Words>
  <Characters>2283</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Worthing High School</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Hayler</dc:creator>
  <cp:keywords/>
  <dc:description/>
  <cp:lastModifiedBy>Karen Hayler</cp:lastModifiedBy>
  <cp:revision>2</cp:revision>
  <cp:lastPrinted>2019-06-18T12:53:00Z</cp:lastPrinted>
  <dcterms:created xsi:type="dcterms:W3CDTF">2022-01-11T10:25:00Z</dcterms:created>
  <dcterms:modified xsi:type="dcterms:W3CDTF">2022-01-11T10:25:00Z</dcterms:modified>
</cp:coreProperties>
</file>